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23/05/2015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  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S99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  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Państwa członkowskie - Zamówienie publiczne na usługi - Ogłoszenie o zamówieniu - Procedura otwarta </w:t>
      </w:r>
    </w:p>
    <w:p w:rsidR="00F56FB0" w:rsidRPr="00F56FB0" w:rsidRDefault="00F56FB0" w:rsidP="00F56FB0">
      <w:pPr>
        <w:shd w:val="clear" w:color="auto" w:fill="FFFFFF"/>
        <w:spacing w:after="15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bookmarkStart w:id="0" w:name="_GoBack"/>
      <w:bookmarkEnd w:id="0"/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Polska-Chojnice: Usługi architektoniczne, inżynieryjne i planowania</w:t>
      </w:r>
    </w:p>
    <w:p w:rsidR="00F56FB0" w:rsidRPr="00F56FB0" w:rsidRDefault="00F56FB0" w:rsidP="00F56FB0">
      <w:pPr>
        <w:shd w:val="clear" w:color="auto" w:fill="FFFFFF"/>
        <w:spacing w:after="15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2015/S 099-180134</w:t>
      </w:r>
    </w:p>
    <w:p w:rsidR="00F56FB0" w:rsidRPr="00F56FB0" w:rsidRDefault="00F56FB0" w:rsidP="00F56FB0">
      <w:pPr>
        <w:shd w:val="clear" w:color="auto" w:fill="FFFFFF"/>
        <w:spacing w:after="15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Ogłoszenie o zamówieniu</w:t>
      </w:r>
    </w:p>
    <w:p w:rsidR="00F56FB0" w:rsidRPr="00F56FB0" w:rsidRDefault="00F56FB0" w:rsidP="00F56FB0">
      <w:pPr>
        <w:shd w:val="clear" w:color="auto" w:fill="FFFFFF"/>
        <w:spacing w:after="15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Usługi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Dyrektywa 2004/18/WE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pl-PL"/>
        </w:rPr>
      </w:pP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u w:val="single"/>
          <w:bdr w:val="none" w:sz="0" w:space="0" w:color="auto" w:frame="1"/>
          <w:lang w:eastAsia="pl-PL"/>
        </w:rPr>
        <w:t>Sekcja I: Instytucja zamawiająca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Nazwa, adresy i punkty kontaktowe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Schronisko dla Nieletnich w Chojnicach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ul. </w:t>
      </w:r>
      <w:proofErr w:type="spellStart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Igielska</w:t>
      </w:r>
      <w:proofErr w:type="spellEnd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8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Osoba do kontaktów: Wojciech Ossowski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89-600 Chojnice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523972161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E-mail</w:t>
      </w:r>
      <w:proofErr w:type="gramStart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  <w:hyperlink r:id="rId5" w:history="1">
        <w:proofErr w:type="gramEnd"/>
        <w:r w:rsidRPr="00F56FB0">
          <w:rPr>
            <w:rFonts w:ascii="inherit" w:eastAsia="Times New Roman" w:hAnsi="inherit" w:cs="Arial"/>
            <w:color w:val="3333FF"/>
            <w:sz w:val="19"/>
            <w:szCs w:val="19"/>
            <w:bdr w:val="none" w:sz="0" w:space="0" w:color="auto" w:frame="1"/>
            <w:lang w:eastAsia="pl-PL"/>
          </w:rPr>
          <w:t>kontakt@sdnchojnice.pl</w:t>
        </w:r>
      </w:hyperlink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523972258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Adresy internetowe: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Ogólny adres instytucji zamawiającej</w:t>
      </w:r>
      <w:proofErr w:type="gramStart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  <w:hyperlink r:id="rId6" w:tgtFrame="_blank" w:history="1">
        <w:proofErr w:type="gramEnd"/>
        <w:r w:rsidRPr="00F56FB0">
          <w:rPr>
            <w:rFonts w:ascii="inherit" w:eastAsia="Times New Roman" w:hAnsi="inherit" w:cs="Arial"/>
            <w:color w:val="3333FF"/>
            <w:sz w:val="19"/>
            <w:szCs w:val="19"/>
            <w:bdr w:val="none" w:sz="0" w:space="0" w:color="auto" w:frame="1"/>
            <w:lang w:eastAsia="pl-PL"/>
          </w:rPr>
          <w:t>http://www.sdnchojnice.pl</w:t>
        </w:r>
      </w:hyperlink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Więcej informacji można uzyskać pod adresem</w:t>
      </w:r>
      <w:proofErr w:type="gramStart"/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: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Powyższy</w:t>
      </w:r>
      <w:proofErr w:type="gramEnd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(-e) punkt(-y) kontaktowy(-e)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Specyfikacje i dokumenty dodatkowe (w tym dokumenty dotyczące dialogu konkurencyjnego oraz dynamicznego systemu zakupów) można uzyskać pod adresem</w:t>
      </w:r>
      <w:proofErr w:type="gramStart"/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: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Powyższy</w:t>
      </w:r>
      <w:proofErr w:type="gramEnd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(-e) punkt(-y) kontaktowy(-e)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Oferty lub wnioski o dopuszczenie do udziału w postępowaniu należy przesyłać na adres</w:t>
      </w:r>
      <w:proofErr w:type="gramStart"/>
      <w:r w:rsidRPr="00F56FB0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: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Powyższy</w:t>
      </w:r>
      <w:proofErr w:type="gramEnd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(-e) punkt(-y) kontaktowy(-e)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Rodzaj instytucji zamawiającej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Inna: jednostka państwowa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Główny przedmiot lub przedmioty działalności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Inny: placówka diagnostyczno-resocjalizacyjna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I.4)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Udzielenie zamówienia w imieniu innych instytucji zamawiających</w:t>
      </w:r>
    </w:p>
    <w:p w:rsidR="00F56FB0" w:rsidRPr="00F56FB0" w:rsidRDefault="00F56FB0" w:rsidP="00F56FB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Instytucja zamawiająca dokonuje zakupu w imieniu innych instytucji zamawiających: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pl-PL"/>
        </w:rPr>
      </w:pP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u w:val="single"/>
          <w:bdr w:val="none" w:sz="0" w:space="0" w:color="auto" w:frame="1"/>
          <w:lang w:eastAsia="pl-PL"/>
        </w:rPr>
        <w:t>Sekcja II: Przedmiot zamówienia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Opis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Nazwa nadana zamówieniu przez instytucję zamawiającą: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Opracowaniu dokumentacji projektowej w ramach projektu pn.: „Poprawa efektywności energetycznej oraz rozwój OZE w Chojnicko-Człuchowskim Miejskim Obszarze Funkcjonalnym – dokumentacja projektowa”.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Rodzaj zamówienia oraz lokalizacja robót budowlanych, miejsce realizacji dostawy lub świadczenia usług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Usługi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Kategoria usług: nr 12: Usługi architektoniczne, inżynieryjne i zintegrowane usługi inżynieryjne; usługi urbanistyczne, architektury krajobrazu, związane z nimi usługi konsultacji naukowych i technicznych; usługi badań i analiz technicznych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Główne miejsce lub lokalizacja robót budowlanych, miejsce realizacji dostawy lub świadczenia usług: Chojnice.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Kod NUTS 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na temat zamówienia publicznego, umowy ramowej lub dynamicznego systemu zakupów (DSZ)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Ogłoszenie dotyczy zamówienia publicznego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II.1.4)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na temat umowy ramowej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II.1.5)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Krótki opis zamówienia lub zakupu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lastRenderedPageBreak/>
        <w:t>Przedmiotem zamówienia jest opracowanie dokumentacji w ramach projektu „Poprawa efektywności energetycznej oraz rozwój OZE w Chojnicko-Człuchowskim Miejskim Obszarze Funkcjonalnym”.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Zakres zamówienia: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1. Budynek internatu, szkoły, sali gimnastycznej, warsztatów – instalacja fotowoltaiczna z konstrukcją montażową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opracowanie do każdego z wymienionych budynków audytów energetycznych;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b) opracowanie inwentaryzacji budowlanej budynków w niezbędnym zakresie;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c) opracowanie kompletnego projektu budowlano-wykonawczego instalacji fotowoltaicznej;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d) opracowanie kosztorysów inwestorskich;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e) opracowanie przedmiarów robót;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f) opracowanie Specyfikacji Technicznych Wykonania i Odbioru Robót Budowlanych;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g) uzyskanie ostatecznych decyzji pozwolenia na budowę lub zgłoszenia budowy/robót nie wymagających pozwolenia na budowę.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 xml:space="preserve">2. Budynek warsztatów – wymiana instalacji elektrycznej, rozdzielni głównych wraz z wymianą oświetlenia na 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ledowe</w:t>
      </w:r>
      <w:proofErr w:type="spellEnd"/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inwentaryzacja istniejącej instalacji elektrycznej;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b) opracowanie kompletnego projektu budowlano-wykonawczego wymiany istniejącej instalacji elektrycznej, rozdzielni głównych wraz z wymianą na oświetlenie LED;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c) opracowanie kosztorysów inwestorskich;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d) opracowanie przedmiarów robót;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e) opracowanie Specyfikacji Technicznych Wykonania i Odbioru Robót Budowlanych;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f) uzyskanie ostatecznych decyzji pozwolenia na budowę lub zgłoszenia budowy/robót nie wymagających pozwolenia na budowę.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3. Budynek kaplicy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inwentaryzacja budowlana budynku;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b) opracowanie audytu energetycznego.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4. Budynek garażu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inwentaryzacja budowlana budynku;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b) opracowanie audytu energetycznego.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5. Zamawiający posiada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inwentaryzację budowlaną warsztatów;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b) koncepcję instalacji fotowoltaicznej wraz z konstrukcją montażową.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6. Przedmiot zamówienia obejmuje również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przygotowanie w imieniu Zamawiającego niezbędnych wniosków np.: o wydanie decyzji o środowiskowych uwarunkowaniach zgody na realizację przedsięwzięcia, o wydanie decyzji o warunkach zabudowy, o wydanie warunków technicznych lub przedłużenie, zmianę dotychczasowych warunków podłączenia do sieci i wszelkich innych niezbędnych dokumentów do wykonania projektu (o ile są konieczne);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b) uzyskanie w imieniu Zamawiającego, wszelkich wymaganych polskim prawem, uzgodnień, warunków, opinii i decyzji administracyjnych niezbędnych do opracowania dokumentacji projektowo-kosztorysowej;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c) poniesienie kosztów opracowania map do celów projektowych w ilości niezbędnej dla opracowania przedmiotu zamówienia;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d) uzyskanie ostatecznej decyzji o środowiskowych uwarunkowaniach zgody na realizację przedsięwzięcia (w razie wystąpienia takiej konieczności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e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uczestniczenie w spotkaniach roboczych i bieżące uzgadnianie prac projektowych w terminie umożliwiającym wprowadzenie ewentualnych zmian przed złożeniem wniosku zgłoszenia robót budowlanych/pozwolenia na budowę;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f) opracowanie raportu o oddziaływaniu na środowisko (w razie wystąpienia takiej konieczności);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g) udzielenie odpowiedzi dotyczących rozwiązań projektowych na etapie przeprowadzania procedury na wykonanie zadania opisanego w dokumentacji.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Zamawiający dopuszcza możliwość wystąpienia usług uzupełniających do 20 % wartości zamówienia.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II.1.6)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Wspólny Słownik Zamówień (CPV)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FF0000"/>
          <w:sz w:val="19"/>
          <w:szCs w:val="19"/>
          <w:bdr w:val="none" w:sz="0" w:space="0" w:color="auto" w:frame="1"/>
          <w:lang w:eastAsia="pl-PL"/>
        </w:rPr>
        <w:t>71240000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 </w:t>
      </w:r>
      <w:r w:rsidRPr="00F56FB0">
        <w:rPr>
          <w:rFonts w:ascii="inherit" w:eastAsia="Times New Roman" w:hAnsi="inherit" w:cs="Arial"/>
          <w:color w:val="FF0000"/>
          <w:sz w:val="19"/>
          <w:szCs w:val="19"/>
          <w:bdr w:val="none" w:sz="0" w:space="0" w:color="auto" w:frame="1"/>
          <w:lang w:eastAsia="pl-PL"/>
        </w:rPr>
        <w:t>71241000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 </w:t>
      </w:r>
      <w:r w:rsidRPr="00F56FB0">
        <w:rPr>
          <w:rFonts w:ascii="inherit" w:eastAsia="Times New Roman" w:hAnsi="inherit" w:cs="Arial"/>
          <w:color w:val="FF0000"/>
          <w:sz w:val="19"/>
          <w:szCs w:val="19"/>
          <w:bdr w:val="none" w:sz="0" w:space="0" w:color="auto" w:frame="1"/>
          <w:lang w:eastAsia="pl-PL"/>
        </w:rPr>
        <w:t>71242000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 </w:t>
      </w:r>
      <w:r w:rsidRPr="00F56FB0">
        <w:rPr>
          <w:rFonts w:ascii="inherit" w:eastAsia="Times New Roman" w:hAnsi="inherit" w:cs="Arial"/>
          <w:color w:val="FF0000"/>
          <w:sz w:val="19"/>
          <w:szCs w:val="19"/>
          <w:bdr w:val="none" w:sz="0" w:space="0" w:color="auto" w:frame="1"/>
          <w:lang w:eastAsia="pl-PL"/>
        </w:rPr>
        <w:t>71320000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 </w:t>
      </w:r>
      <w:r w:rsidRPr="00F56FB0">
        <w:rPr>
          <w:rFonts w:ascii="inherit" w:eastAsia="Times New Roman" w:hAnsi="inherit" w:cs="Arial"/>
          <w:color w:val="FF0000"/>
          <w:sz w:val="19"/>
          <w:szCs w:val="19"/>
          <w:bdr w:val="none" w:sz="0" w:space="0" w:color="auto" w:frame="1"/>
          <w:lang w:eastAsia="pl-PL"/>
        </w:rPr>
        <w:t>71323100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II.1.7)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na temat Porozumienia w sprawie zamówień rządowych (GPA)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II.1.8)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Części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To zamówienie podzielone jest na części: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II.1.9)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o ofertach wariantowych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Dopuszcza się składanie ofert wariantowych: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Wielkość lub zakres zamówienia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II.2.1)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Całkowita wielkość lub zakres: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Szacunkowa wartość bez VAT: 65 040,65 PLN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II.2.2)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o opcjach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lastRenderedPageBreak/>
        <w:t>Opcje: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II.2.3)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o wznowieniach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Jest to zamówienie podlegające wznowieniu: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Czas trwania zamówienia lub termin realizacji</w:t>
      </w:r>
    </w:p>
    <w:p w:rsidR="00F56FB0" w:rsidRPr="00F56FB0" w:rsidRDefault="00F56FB0" w:rsidP="00F56FB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Rozpoczęcie 27.7.2015. Zakończenie 16.11.2015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pl-PL"/>
        </w:rPr>
      </w:pP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u w:val="single"/>
          <w:bdr w:val="none" w:sz="0" w:space="0" w:color="auto" w:frame="1"/>
          <w:lang w:eastAsia="pl-PL"/>
        </w:rPr>
        <w:t>Sekcja III: Informacje o charakterze prawnym, ekonomicznym, finansowym i technicznym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Warunki dotyczące zamówienia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III.1.1)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Wymagane wadia i gwarancje: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1. Przystępując do niniejszego postępowania każdy Wykonawca zobowiązany jest wnieść wadium w wysokości: 1 500 PLN (słownie: tysiąc pięćset złotych)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2. Wadium należy wnieść w formach przewidzianych w art. 45 ust. 6 ustawy, tj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.: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1) pieniądzu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2) poręczeniach bankowych lub poręczeniach spółdzielczej kasy oszczędnościowo-kredytowej, z tym że poręczenie kasy jest zawsze poręczeniem pieniężnym;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3) gwarancjach bankowych;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4) gwarancjach ubezpieczeniowych;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5) poręczeniach udzielanych przez podmioty, o których mowa w art. 6 b ust. 5 pkt 2 ustawy z dnia 9 listopada 2000 r., o utworzeniu Polskiej Agencji Rozwoju Przedsiębiorczości (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Dz.U</w:t>
      </w:r>
      <w:proofErr w:type="spell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. nr z 2007 nr 42, poz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. 275).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3. Wykonawca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 zobowiązany jest wnieść wadium przed upływem terminu składania ofert.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4. Wadium w pieniądzu należy wnieść przelewem na konto Zamawiającego: Schronisko dla Nieletnich, nr rachunku: 84 1010 1140 0000 6813 9120 0000.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III.1.2)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Główne warunki finansowe i uzgodnienia płatnicze i/lub odniesienie do odpowiednich przepisów je regulujących: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III.1.3)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Forma prawna, jaką musi przyjąć grupa wykonawców, której zostanie udzielone zamówienie: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III.1.4)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Inne szczególne warunki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Wykonanie zamówienia podlega szczególnym warunkom: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Warunki udziału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III.2.1)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Sytuacja podmiotowa wykonawców, w tym wymogi związane z wpisem do rejestru zawodowego lub handlowego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Informacje i formalności konieczne do dokonania oceny spełniania wymogów: 1. O udzielenie zamówienia w każdej części mogą ubiegać się Wykonawcy, którzy spełniają warunki określone w art. 22 ust. 1 ustawy 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Pzp</w:t>
      </w:r>
      <w:proofErr w:type="spell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W celu wykazania braku podstaw do wykluczenia z postępowania o udzielenie zamówienia wykonawcy zobowiązani są dołączyć do oferty następujące dokumenty i oświadczenia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oświadczenie o braku podstaw do wykluczenia, zgodnie z art. 24 ustawy (wzór stanowi Załącznik nr 4 do SIWZ);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b)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c)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ofert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d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aktualne zaświadczenie właściwego oddziału Zakładu Ubezpieczeń Społecznych lub Kasy Rolniczego Ubezpieczenia Społecznego potwierdzającego,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 xml:space="preserve">e) aktualną informację z Krajowego Rejestru Karnego w zakresie określonym w art. 24 ust. 1 pkt 4–8 oraz 10–11 ustawy 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Pzp</w:t>
      </w:r>
      <w:proofErr w:type="spell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, wystawioną nie wcześniej niż 6 miesięcy przed upływem terminu składania ofert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f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) aktualną informację z Krajowego Rejestru Karnego w zakresie określonym w art. 24 ust. 1 pkt 9 ustawy 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Pzp</w:t>
      </w:r>
      <w:proofErr w:type="spell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, wystawioną nie wcześniej niż 6 miesięcy przed upływem terminu składania ofert.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6. Wraz z ofertą wykonawca na podstawie art. 24 ust. 2 pkt 5 ustawy składa oświadczenie o przynależności do grupy kapitałowej w rozumieniu ustawy z dnia 16 lutego 2007 r. o ochronie konkurencji i konsumentów (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Dz.U</w:t>
      </w:r>
      <w:proofErr w:type="spell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. 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nr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 50, poz. 331, z 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pózn</w:t>
      </w:r>
      <w:proofErr w:type="spell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. 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zm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.) lub o braku takiej przynależności (ust. 4 i 5 Formularza oferty, stanowiący Załącznik nr 1 do SIWZ).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 xml:space="preserve">8. Jeżeli Wykonawca wykazuje spełnienie warunków o których mowa w art./ 22 ust.1 ustawy 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Pzp</w:t>
      </w:r>
      <w:proofErr w:type="spell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 polega na zasobach innych podmiotów na zasadach określonych w art. 26 ust. 2b ustawy a podmioty te będą brały udział w realizacji części zamówienia, Zamawiający żąda od Wykonawcy przedstawienia w odniesieniu do tych podmiotów dokumentów wymienionych w rozdz. 11 pkt 2 b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)–f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lastRenderedPageBreak/>
        <w:t>III.2.2)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Zdolność ekonomiczna i finansowa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III.2.3)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Kwalifikacje techniczne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Informacje i formalności konieczne do dokonania oceny spełniania wymogów: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 xml:space="preserve">1. O udzielenie zamówienia w każdej części mogą ubiegać się Wykonawcy, którzy spełniają warunki określone w art. 22 ust. 1 ustawy </w:t>
      </w:r>
      <w:proofErr w:type="spell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Pzp</w:t>
      </w:r>
      <w:proofErr w:type="spell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, tj.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1) posiadają uprawnienia do wykonywania określonej działalności lub czynności, jeżeli przepisy prawa nakładają obowiązek ich posiadania – zamawiający nie formułuje żadnego warunku w tym zakresie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2) posiadają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 wiedzę i doświadczenie – Wykonawca musi przedstawić w wykazie że w okresie ostatnich 3 lat przed upływem terminu składania ofert, a jeżeli okres prowadzenia działalności jest krótszy, to w tym okresie, wykonał: co najmniej jedną usługę o wartości nie mniejszej niż 40 000 PLN brutto, polegającą na opracowaniu dokumentacji projektowej w celu instalacji fotowoltaicznej oraz co najmniej jedną usługę o 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wartości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 nie mniejszej niż 40 000 PLN brutto, polegającą na opracowaniu dokumentacji projektowej w celu instalacji elektrycznej.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Wykonawca obowiązany jest wraz z ofertą złożyć następujące oświadczenia i dokumenty w celu potwierdzenia spełniania warunków udziału w postępowaniu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: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a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) oświadczenie Wykonawcy, zgodnie z art. 44 ustawy, o spełnianiu warunków udziału w postępowaniu określonych w art. 22 ust. 1 (wzór stanowi Załącznik nr 3 do SIWZ);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 xml:space="preserve">b) wykaz wykonanych, a w przypadku świadczeń okresowych lub ciągłych również wykonywanych, głównych usług, w okresie ostatnich 3 lat przed upływem terminu składania ofert, a jeżeli okres prowadzenia działalności jest krótszy – w tym okresie, wraz z podaniem ich wartości, przedmiotu, dat wykonania i podmiotów, na rzecz których dostawy lub usługi zostały wykonane oraz załączeniem dowodów czy zostały wykonane lub </w:t>
      </w: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są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 wykonywane należycie. Wzór wykazu stanowi Zał. nr 6 do SIWZ).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III.2.4)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o zamówieniach zastrzeżonych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Specyficzne warunki dotyczące zamówień na usługi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III.3.1)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dotyczące określonego zawodu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Świadczenie usługi zastrzeżone jest dla określonego zawodu: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III.3.2)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Osoby odpowiedzialne za wykonanie usługi</w:t>
      </w:r>
    </w:p>
    <w:p w:rsidR="00F56FB0" w:rsidRPr="00F56FB0" w:rsidRDefault="00F56FB0" w:rsidP="00F56FB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Osoby prawne powinny wskazać nazwiska oraz kwalifikacje zawodowe osób odpowiedzialnych za wykonanie usługi: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pl-PL"/>
        </w:rPr>
      </w:pP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u w:val="single"/>
          <w:bdr w:val="none" w:sz="0" w:space="0" w:color="auto" w:frame="1"/>
          <w:lang w:eastAsia="pl-PL"/>
        </w:rPr>
        <w:t>Sekcja IV: Procedura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Rodzaj procedury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IV.1.1)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Rodzaj procedury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Otwarta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IV.1.2)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Ograniczenie liczby wykonawców, którzy zostaną zaproszeni do składania ofert lub do udziału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IV.1.3)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Zmniejszenie liczby wykonawców podczas negocjacji lub dialogu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Kryteria udzielenia zamówienia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IV.2.1)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Kryteria udzielenia zamówienia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najkorzystniejsza ekonomicznie z uwzględnieniem kryteriów kryteria określone poniżej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1. Cena. Waga 95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2. Termin gwarancji. Waga 5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IV.2.2)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na temat aukcji elektronicznej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Wykorzystana będzie aukcja elektroniczna: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administracyjne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Numer referencyjny nadany sprawie przez instytucję zamawiającą: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2/2015 PN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Poprzednie publikacje dotyczące tego samego zamówienia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nie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Warunki otrzymania specyfikacji, dokumentów dodatkowych lub dokumentu opisowego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Dokumenty odpłatne: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IV.3.4)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Termin składania ofert lub wniosków o dopuszczenie do udziału w postępowaniu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6.7.2015 - 10:00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IV.3.5)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Data wysłania zaproszeń do składania ofert lub do udziału zakwalifikowanym kandydatom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IV.3.6)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Języki, w których można sporządzać oferty lub wnioski o dopuszczenie do udziału w postępowaniu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lastRenderedPageBreak/>
        <w:t>polski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IV.3.7)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Minimalny okres, w którym oferent będzie związany ofertą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proofErr w:type="gramStart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w</w:t>
      </w:r>
      <w:proofErr w:type="gramEnd"/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 dniach: 60 (od ustalonej daty składania ofert)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IV.3.8)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Warunki otwarcia ofert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Data: 6.7.2015 - 10:30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Miejscowość: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Chojnice. Schronisko dla Nieletnich, ul. </w:t>
      </w:r>
      <w:proofErr w:type="spellStart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Igielska</w:t>
      </w:r>
      <w:proofErr w:type="spellEnd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8.</w:t>
      </w:r>
    </w:p>
    <w:p w:rsidR="00F56FB0" w:rsidRPr="00F56FB0" w:rsidRDefault="00F56FB0" w:rsidP="00F56FB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Osoby upoważnione do obecności podczas otwarcia ofert: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pl-PL"/>
        </w:rPr>
      </w:pP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u w:val="single"/>
          <w:bdr w:val="none" w:sz="0" w:space="0" w:color="auto" w:frame="1"/>
          <w:lang w:eastAsia="pl-PL"/>
        </w:rPr>
        <w:t>Sekcja VI: Informacje uzupełniające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VI.1)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o powtarzającym się charakterze zamówienia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Jest to zamówienie o charakterze powtarzającym się: nie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VI.2)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o funduszach Unii Europejskiej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Zamówienie dotyczy projektu/programu finansowanego ze środków Unii Europejskiej: tak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  <w:t>Podać odniesienie do projektu (projektów) i/lub programu (programów): Regionalny Program Operacyjny dla Województwa Pomorskiego na lata 2007–20013.</w:t>
      </w: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VI.3)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Informacje dodatkowe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VI.4)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Procedury odwoławcze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VI.4.1)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Organ odpowiedzialny za procedury odwoławcze</w:t>
      </w:r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Krajowej Izby Odwoławczej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 17a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E-mail</w:t>
      </w:r>
      <w:proofErr w:type="gramStart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  <w:hyperlink r:id="rId7" w:history="1">
        <w:proofErr w:type="gramEnd"/>
        <w:r w:rsidRPr="00F56FB0">
          <w:rPr>
            <w:rFonts w:ascii="inherit" w:eastAsia="Times New Roman" w:hAnsi="inherit" w:cs="Arial"/>
            <w:color w:val="3333FF"/>
            <w:sz w:val="19"/>
            <w:szCs w:val="19"/>
            <w:bdr w:val="none" w:sz="0" w:space="0" w:color="auto" w:frame="1"/>
            <w:lang w:eastAsia="pl-PL"/>
          </w:rPr>
          <w:t>uzp@uzp.gov.pl</w:t>
        </w:r>
      </w:hyperlink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224587702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Adres internetowy</w:t>
      </w:r>
      <w:proofErr w:type="gramStart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  <w:hyperlink r:id="rId8" w:tgtFrame="_blank" w:history="1">
        <w:proofErr w:type="gramEnd"/>
        <w:r w:rsidRPr="00F56FB0">
          <w:rPr>
            <w:rFonts w:ascii="inherit" w:eastAsia="Times New Roman" w:hAnsi="inherit" w:cs="Arial"/>
            <w:color w:val="3333FF"/>
            <w:sz w:val="19"/>
            <w:szCs w:val="19"/>
            <w:bdr w:val="none" w:sz="0" w:space="0" w:color="auto" w:frame="1"/>
            <w:lang w:eastAsia="pl-PL"/>
          </w:rPr>
          <w:t>http://www.uzp.gov.pl</w:t>
        </w:r>
      </w:hyperlink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224587800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VI.4.2)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 xml:space="preserve">Składanie </w:t>
      </w:r>
      <w:proofErr w:type="spellStart"/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odwołań</w:t>
      </w:r>
      <w:proofErr w:type="spellEnd"/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VI.4.3)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 xml:space="preserve">Źródło, gdzie można uzyskać informacje na temat składania </w:t>
      </w:r>
      <w:proofErr w:type="spellStart"/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odwołań</w:t>
      </w:r>
      <w:proofErr w:type="spellEnd"/>
    </w:p>
    <w:p w:rsidR="00F56FB0" w:rsidRPr="00F56FB0" w:rsidRDefault="00F56FB0" w:rsidP="00F56F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Krajowej Izby Odwoławczej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Postępu 17a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02-676 Warszawa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E-mail</w:t>
      </w:r>
      <w:proofErr w:type="gramStart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  <w:hyperlink r:id="rId9" w:history="1">
        <w:proofErr w:type="gramEnd"/>
        <w:r w:rsidRPr="00F56FB0">
          <w:rPr>
            <w:rFonts w:ascii="inherit" w:eastAsia="Times New Roman" w:hAnsi="inherit" w:cs="Arial"/>
            <w:color w:val="3333FF"/>
            <w:sz w:val="19"/>
            <w:szCs w:val="19"/>
            <w:bdr w:val="none" w:sz="0" w:space="0" w:color="auto" w:frame="1"/>
            <w:lang w:eastAsia="pl-PL"/>
          </w:rPr>
          <w:t>uzp@uzp.gov.pl</w:t>
        </w:r>
      </w:hyperlink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224587702</w:t>
      </w:r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Adres internetowy</w:t>
      </w:r>
      <w:proofErr w:type="gramStart"/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  <w:hyperlink r:id="rId10" w:tgtFrame="_blank" w:history="1">
        <w:proofErr w:type="gramEnd"/>
        <w:r w:rsidRPr="00F56FB0">
          <w:rPr>
            <w:rFonts w:ascii="inherit" w:eastAsia="Times New Roman" w:hAnsi="inherit" w:cs="Arial"/>
            <w:color w:val="3333FF"/>
            <w:sz w:val="19"/>
            <w:szCs w:val="19"/>
            <w:bdr w:val="none" w:sz="0" w:space="0" w:color="auto" w:frame="1"/>
            <w:lang w:eastAsia="pl-PL"/>
          </w:rPr>
          <w:t>http://www.uzp.gov.pl</w:t>
        </w:r>
      </w:hyperlink>
      <w:r w:rsidRPr="00F56FB0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224587800</w:t>
      </w:r>
    </w:p>
    <w:p w:rsidR="00F56FB0" w:rsidRPr="00F56FB0" w:rsidRDefault="00F56FB0" w:rsidP="00F56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VI.5)</w:t>
      </w:r>
      <w:r w:rsidRPr="00F56FB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Data wysłania niniejszego ogłoszenia:</w:t>
      </w:r>
    </w:p>
    <w:p w:rsidR="00F56FB0" w:rsidRPr="00F56FB0" w:rsidRDefault="00F56FB0" w:rsidP="00F56FB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  <w:r w:rsidRPr="00F56FB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pl-PL"/>
        </w:rPr>
        <w:t>20.5.2015</w:t>
      </w:r>
    </w:p>
    <w:p w:rsidR="00023717" w:rsidRDefault="00023717"/>
    <w:sectPr w:rsidR="0002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136B"/>
    <w:multiLevelType w:val="multilevel"/>
    <w:tmpl w:val="5076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0"/>
    <w:rsid w:val="00023717"/>
    <w:rsid w:val="00F56FB0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3457-5AD2-4A52-B245-C7244119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982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2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8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3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2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6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2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1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6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3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7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4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7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5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2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2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81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0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2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9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2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9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5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67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89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8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6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6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3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8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5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90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3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4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5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4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1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9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28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7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6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4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6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2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290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4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9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6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6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5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6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6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2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zp@uzp.gov.pl?subject=T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nchojnice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takt@sdnchojnice.pl?subject=TED" TargetMode="External"/><Relationship Id="rId10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p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2015-05-25T05:52:00Z</dcterms:created>
  <dcterms:modified xsi:type="dcterms:W3CDTF">2015-05-25T05:58:00Z</dcterms:modified>
</cp:coreProperties>
</file>